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  The decision of CCS and the Buyer to consent or not will not be unreasonably withheld or delayed.  Where CCS consents to the appointment of a new Key Subcontractor then they will be added to section 20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if requested,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if requested, the Key Sub-Contract price expressed as a percentage of the total projected Charges over the Call-Off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and associated Call-Off Schedules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Requirements;</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588" w:hanging="867.9999999999998"/>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rsid w:val="00F1638E"/>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WX0RCGvDQcKcocvkI4SQV0Z8lQ==">AMUW2mXwVOtBJzvd5pQeRT0VUZn5M6BtmhmtvxCxmoPJ5YUidfLdHUqLQOHuIQ72QDUkzVfAriZAGEMO/XMhicF3eeVe1hxckcPjr6LgkYLrtHAytiRdRlRvt8MZ+SG4Y9ycHLgUI7nHrGgkEL3oqwd1H7JNblHLyJXXmm/31c+c577EuRpnk1ICEito8MBU91upJAyNnJP2X9u5Dv+jHMcbyEgT2aY5quBm1e0CdPNzc+wIrIQ2WOYBwQePSkCtHOTMapfIApLODZ/OibLAZnZJ+RKkmkNl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2019-12-05T16:31:00Z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